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02D97C16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proofErr w:type="spellEnd"/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որը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ապրիլի 21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ին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proofErr w:type="spellEnd"/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1B3FE6E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25500">
        <w:rPr>
          <w:rFonts w:ascii="Arial" w:hAnsi="Arial" w:cs="Arial"/>
          <w:sz w:val="18"/>
          <w:szCs w:val="18"/>
          <w:lang w:val="hy-AM"/>
        </w:rPr>
        <w:t>049-0012-0066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21/1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4318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43 180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21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60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5BFEED5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25500">
        <w:rPr>
          <w:rFonts w:ascii="Arial" w:hAnsi="Arial" w:cs="Arial"/>
          <w:sz w:val="18"/>
          <w:szCs w:val="18"/>
          <w:lang w:val="hy-AM"/>
        </w:rPr>
        <w:t>049-0012-0063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72550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25500" w:rsidRPr="00725500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322ADB" w:rsidRPr="00725500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2-րդ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3-րդ նրբ</w:t>
      </w:r>
      <w:r w:rsidR="00725500">
        <w:rPr>
          <w:rFonts w:ascii="Cambria Math" w:hAnsi="Cambria Math" w:cs="Arial"/>
          <w:color w:val="000000"/>
          <w:sz w:val="18"/>
          <w:szCs w:val="18"/>
          <w:lang w:val="hy-AM"/>
        </w:rPr>
        <w:t>․,</w:t>
      </w:r>
      <w:r w:rsidR="00FF467D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1/3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03604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36 040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DA4983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810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4FB32B9D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EE1526">
        <w:rPr>
          <w:rFonts w:ascii="Arial" w:hAnsi="Arial" w:cs="Arial"/>
          <w:sz w:val="18"/>
          <w:szCs w:val="18"/>
          <w:lang w:val="hy-AM"/>
        </w:rPr>
        <w:t>049-0018-0009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1526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 xml:space="preserve">3-րդ 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7 -րդ փակ</w:t>
      </w:r>
      <w:r w:rsidR="00DD67F1" w:rsidRPr="00DD67F1">
        <w:rPr>
          <w:rFonts w:ascii="GHEA Grapalat" w:hAnsi="GHEA Grapalat" w:cs="Cambria Math"/>
          <w:color w:val="000000"/>
          <w:sz w:val="18"/>
          <w:szCs w:val="18"/>
          <w:lang w:val="hy-AM"/>
        </w:rPr>
        <w:t>ուղի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3/1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ակությունը` բնակավայրերի,գործառնական նշանակությունը` </w:t>
      </w:r>
      <w:r w:rsidR="00F83212" w:rsidRPr="004764F8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125490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17402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174 020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8705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1CF094BF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>017-0011-0129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9-րդ փողոց 11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0634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63 400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3170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4A9DF55C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764F8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 xml:space="preserve">017-0104-0121 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2-րդ հողամաս,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07613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76 130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3810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034EB29E" w:rsidR="003D463D" w:rsidRPr="00581A63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D7CAA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D7CAA">
        <w:rPr>
          <w:rFonts w:ascii="Arial" w:hAnsi="Arial" w:cs="Arial"/>
          <w:sz w:val="18"/>
          <w:szCs w:val="18"/>
          <w:lang w:val="hy-AM"/>
        </w:rPr>
        <w:t>017-0006-0037</w:t>
      </w:r>
      <w:r w:rsidR="004D7CAA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 14-րդ փողոց 2/3 հողամաս,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1457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145 700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7300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4C98EF81" w14:textId="1E79BCF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2C3C7F0A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725500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ապրիլի 15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D07EF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5117A"/>
    <w:rsid w:val="00451B18"/>
    <w:rsid w:val="004732AF"/>
    <w:rsid w:val="00474F93"/>
    <w:rsid w:val="004764F8"/>
    <w:rsid w:val="00483D05"/>
    <w:rsid w:val="00491D31"/>
    <w:rsid w:val="004957FB"/>
    <w:rsid w:val="004B1856"/>
    <w:rsid w:val="004B3352"/>
    <w:rsid w:val="004D790C"/>
    <w:rsid w:val="004D7CAA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B6F33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25500"/>
    <w:rsid w:val="00736799"/>
    <w:rsid w:val="007619C3"/>
    <w:rsid w:val="00765ABD"/>
    <w:rsid w:val="00772F6C"/>
    <w:rsid w:val="00786339"/>
    <w:rsid w:val="007A034F"/>
    <w:rsid w:val="007B456D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205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D67F1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1526"/>
    <w:rsid w:val="00EE71B0"/>
    <w:rsid w:val="00EF0E24"/>
    <w:rsid w:val="00EF53EC"/>
    <w:rsid w:val="00F055CC"/>
    <w:rsid w:val="00F06A4A"/>
    <w:rsid w:val="00F261A1"/>
    <w:rsid w:val="00F31FAD"/>
    <w:rsid w:val="00F502A7"/>
    <w:rsid w:val="00F540FC"/>
    <w:rsid w:val="00F6499B"/>
    <w:rsid w:val="00F7132B"/>
    <w:rsid w:val="00F83212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https://mul2-tavush.gov.am/tasks/415799/oneclick?token=6b5eb874f7d9381c7cb83cea64c9374e</cp:keywords>
  <dc:description/>
  <cp:lastModifiedBy>Acer Aspire</cp:lastModifiedBy>
  <cp:revision>564</cp:revision>
  <dcterms:created xsi:type="dcterms:W3CDTF">2023-09-01T05:15:00Z</dcterms:created>
  <dcterms:modified xsi:type="dcterms:W3CDTF">2025-03-18T05:17:00Z</dcterms:modified>
</cp:coreProperties>
</file>