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7" w:rsidRDefault="00866F17" w:rsidP="00866F17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15"/>
          <w:szCs w:val="15"/>
        </w:rPr>
      </w:pPr>
      <w:r>
        <w:rPr>
          <w:rFonts w:ascii="GHEA Grapalat" w:hAnsi="GHEA Grapalat"/>
          <w:color w:val="000000"/>
          <w:sz w:val="15"/>
          <w:szCs w:val="15"/>
        </w:rPr>
        <w:br/>
        <w:t xml:space="preserve">10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Մարտի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2022, 309 - Ն</w:t>
      </w:r>
    </w:p>
    <w:p w:rsidR="00866F17" w:rsidRDefault="00866F17" w:rsidP="00866F17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sz w:val="15"/>
          <w:szCs w:val="15"/>
        </w:rPr>
      </w:pPr>
      <w:r>
        <w:rPr>
          <w:rFonts w:ascii="GHEA Grapalat" w:hAnsi="GHEA Grapalat"/>
          <w:b/>
          <w:bCs/>
          <w:color w:val="000000"/>
          <w:sz w:val="15"/>
          <w:szCs w:val="15"/>
        </w:rPr>
        <w:t>«ՀԱՅԱՍՏԱՆԻ ՀԱՆՐԱՊԵՏՈՒԹՅԱՆ 2022 ԹՎԱԿԱՆԻ ՊԵՏԱԿԱՆ ԲՅՈՒՋԵԻ ՄԱՍԻՆ» ՀԱՅԱՍՏԱՆԻ ՀԱՆՐԱՊԵՏՈՒԹՅԱՆ ՕՐԵՆՔՈՒՄ ՎԵՐԱԲԱՇԽՈՒՄ, ՓՈՓՈԽՈՒԹՅՈՒՆՆԵՐ ԵՎ ԼՐԱՑՈՒՄՆԵՐ, ՀԱՅԱՍՏԱՆԻ ՀԱՆՐԱՊԵՏՈՒԹՅԱՆ ԿԱՌԱՎԱՐՈՒԹՅԱՆ 2021 ԹՎԱԿԱՆԻ ԴԵԿՏԵՄԲԵՐԻ 23-Ի N 2121-Ն ՈՐՈՇՄԱՆ ՄԵՋ ՓՈՓՈԽՈՒԹՅՈՒՆՆԵՐ ԵՎ ԼՐԱՑՈՒՄՆԵՐ ԿԱՏԱՐԵԼՈՒ ՄԱՍԻՆ</w:t>
      </w:r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r>
        <w:rPr>
          <w:rFonts w:ascii="Courier New" w:hAnsi="Courier New" w:cs="Courier New"/>
          <w:color w:val="000000"/>
          <w:sz w:val="15"/>
          <w:szCs w:val="15"/>
        </w:rPr>
        <w:t> 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Ղեկավարվելով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«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բյուջետային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համակարգի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մասին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»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օրենքի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19-րդ և 23-րդ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հոդվածների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3-րդ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մասերով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>, «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Նորմատիվ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իրավական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ակտերի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մասին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»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օրենքի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33-րդ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հոդվածով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՝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 w:cs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15"/>
          <w:szCs w:val="15"/>
        </w:rPr>
        <w:t>Հանրապ</w:t>
      </w:r>
      <w:r>
        <w:rPr>
          <w:rFonts w:ascii="GHEA Grapalat" w:hAnsi="GHEA Grapalat"/>
          <w:color w:val="000000"/>
          <w:sz w:val="15"/>
          <w:szCs w:val="15"/>
        </w:rPr>
        <w:t>ետության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կառավարությունը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br/>
        <w:t xml:space="preserve">ո ր ո շ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ու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մ է</w:t>
      </w:r>
      <w:proofErr w:type="gramStart"/>
      <w:r>
        <w:rPr>
          <w:rFonts w:ascii="GHEA Grapalat" w:hAnsi="GHEA Grapalat"/>
          <w:color w:val="000000"/>
          <w:sz w:val="15"/>
          <w:szCs w:val="15"/>
        </w:rPr>
        <w:t>.</w:t>
      </w:r>
      <w:proofErr w:type="gramEnd"/>
      <w:r>
        <w:rPr>
          <w:rFonts w:ascii="GHEA Grapalat" w:hAnsi="GHEA Grapalat"/>
          <w:color w:val="000000"/>
          <w:sz w:val="15"/>
          <w:szCs w:val="15"/>
        </w:rPr>
        <w:br/>
        <w:t>1. «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2022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թվականի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պետական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բյուջեի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մասին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»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օրենքի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N 1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հավելվածի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N 2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աղյուսակում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կատարել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վերաբաշխում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և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լրացումներ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, N 1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հավելվածի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N 3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աղյուսակում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և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br/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կառավարության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2021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թվականի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դեկտեմբերի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23-ի «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Հայաստանի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Հանրապետության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2022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թվականի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պետական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բյուջեի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կատարումն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ապահովող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br/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միջոցառումների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մասին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» N 2121-Ն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որոշման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NN 3, 4, 5, 9, 9.1 և 10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հավելվածներում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կատարել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փոփոխություններ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և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լրացումներ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՝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համաձայն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NN 1, 2, 3, 4, 5 և 6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հավելվածների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>:</w:t>
      </w:r>
      <w:r>
        <w:rPr>
          <w:rFonts w:ascii="GHEA Grapalat" w:hAnsi="GHEA Grapalat"/>
          <w:color w:val="000000"/>
          <w:sz w:val="15"/>
          <w:szCs w:val="15"/>
        </w:rPr>
        <w:br/>
        <w:t xml:space="preserve">2.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Սույն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որոշումն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ուժի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մեջ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է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մտնում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պաշտոնական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հրապարակմանը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հաջորդող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hAnsi="GHEA Grapalat"/>
          <w:color w:val="000000"/>
          <w:sz w:val="15"/>
          <w:szCs w:val="15"/>
        </w:rPr>
        <w:t>օրվանից</w:t>
      </w:r>
      <w:proofErr w:type="spellEnd"/>
      <w:r>
        <w:rPr>
          <w:rFonts w:ascii="GHEA Grapalat" w:hAnsi="GHEA Grapalat"/>
          <w:color w:val="000000"/>
          <w:sz w:val="15"/>
          <w:szCs w:val="15"/>
        </w:rPr>
        <w:t>:</w:t>
      </w:r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4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հավելված1</w:t>
        </w:r>
      </w:hyperlink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5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հավելված2</w:t>
        </w:r>
      </w:hyperlink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6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հավելված3</w:t>
        </w:r>
      </w:hyperlink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7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հավելված4</w:t>
        </w:r>
      </w:hyperlink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8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հավելված5</w:t>
        </w:r>
      </w:hyperlink>
    </w:p>
    <w:p w:rsidR="00866F17" w:rsidRDefault="00866F17" w:rsidP="00866F17">
      <w:pPr>
        <w:pStyle w:val="a5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15"/>
          <w:szCs w:val="15"/>
        </w:rPr>
      </w:pPr>
      <w:hyperlink r:id="rId9" w:history="1">
        <w:r>
          <w:rPr>
            <w:rStyle w:val="a6"/>
            <w:rFonts w:ascii="GHEA Grapalat" w:hAnsi="GHEA Grapalat"/>
            <w:color w:val="1E9DB1"/>
            <w:sz w:val="15"/>
            <w:szCs w:val="15"/>
          </w:rPr>
          <w:t>հավելված6</w:t>
        </w:r>
      </w:hyperlink>
    </w:p>
    <w:p w:rsidR="00905AF2" w:rsidRPr="00866F17" w:rsidRDefault="00905AF2" w:rsidP="00866F17"/>
    <w:sectPr w:rsidR="00905AF2" w:rsidRPr="00866F17" w:rsidSect="00905AF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BBF"/>
    <w:rsid w:val="001E3E57"/>
    <w:rsid w:val="00217BBF"/>
    <w:rsid w:val="00255ADF"/>
    <w:rsid w:val="003E2B10"/>
    <w:rsid w:val="004766C1"/>
    <w:rsid w:val="0055619E"/>
    <w:rsid w:val="006B79ED"/>
    <w:rsid w:val="00706FDA"/>
    <w:rsid w:val="00866F17"/>
    <w:rsid w:val="00905AF2"/>
    <w:rsid w:val="00964CB9"/>
    <w:rsid w:val="00AC1414"/>
    <w:rsid w:val="00B8154D"/>
    <w:rsid w:val="00CB3E94"/>
    <w:rsid w:val="00F2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F2"/>
    <w:rPr>
      <w:rFonts w:ascii="Tahoma" w:hAnsi="Tahoma" w:cs="Tahoma"/>
      <w:sz w:val="16"/>
      <w:szCs w:val="16"/>
    </w:rPr>
  </w:style>
  <w:style w:type="paragraph" w:customStyle="1" w:styleId="dec-date">
    <w:name w:val="dec-date"/>
    <w:basedOn w:val="a"/>
    <w:rsid w:val="0086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-name">
    <w:name w:val="dec-name"/>
    <w:basedOn w:val="a"/>
    <w:rsid w:val="0086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Normal (Web)"/>
    <w:basedOn w:val="a"/>
    <w:uiPriority w:val="99"/>
    <w:semiHidden/>
    <w:unhideWhenUsed/>
    <w:rsid w:val="0086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Hyperlink"/>
    <w:basedOn w:val="a0"/>
    <w:uiPriority w:val="99"/>
    <w:semiHidden/>
    <w:unhideWhenUsed/>
    <w:rsid w:val="00866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352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m/u_files/file/decrees/kar/2022/309_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gov.am/u_files/file/decrees/kar/2022/309_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ov.am/u_files/file/decrees/kar/2022/309_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gov.am/u_files/file/decrees/kar/2022/309_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gov.am/u_files/file/decrees/kar/2022/309_1.pdf" TargetMode="External"/><Relationship Id="rId9" Type="http://schemas.openxmlformats.org/officeDocument/2006/relationships/hyperlink" Target="https://www.e-gov.am/u_files/file/decrees/kar/2022/309_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9</cp:revision>
  <cp:lastPrinted>2022-03-11T08:36:00Z</cp:lastPrinted>
  <dcterms:created xsi:type="dcterms:W3CDTF">2022-03-02T13:29:00Z</dcterms:created>
  <dcterms:modified xsi:type="dcterms:W3CDTF">2022-03-14T06:16:00Z</dcterms:modified>
</cp:coreProperties>
</file>